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F7582" w14:textId="77777777" w:rsidR="00A35CBC" w:rsidRPr="00506AB0" w:rsidRDefault="00A35CBC" w:rsidP="00901F25">
      <w:pPr>
        <w:outlineLvl w:val="0"/>
        <w:rPr>
          <w:rFonts w:ascii="Arial" w:hAnsi="Arial" w:cs="Arial"/>
          <w:b/>
          <w:sz w:val="22"/>
          <w:szCs w:val="22"/>
        </w:rPr>
      </w:pPr>
    </w:p>
    <w:p w14:paraId="629BF562" w14:textId="4DC5A629" w:rsidR="00901F25" w:rsidRPr="00337F77" w:rsidRDefault="00901F25" w:rsidP="00337F77">
      <w:pPr>
        <w:spacing w:after="120" w:line="360" w:lineRule="auto"/>
        <w:jc w:val="center"/>
        <w:outlineLvl w:val="0"/>
        <w:rPr>
          <w:rFonts w:ascii="Arial" w:hAnsi="Arial" w:cs="Arial"/>
          <w:b/>
          <w:szCs w:val="22"/>
        </w:rPr>
      </w:pPr>
      <w:r w:rsidRPr="00337F77">
        <w:rPr>
          <w:rFonts w:ascii="Arial" w:hAnsi="Arial" w:cs="Arial"/>
          <w:b/>
          <w:szCs w:val="22"/>
        </w:rPr>
        <w:t>Urgent surgical intervention after suspected perioperative anaphylaxis</w:t>
      </w:r>
      <w:r w:rsidR="00AA451F">
        <w:rPr>
          <w:rFonts w:ascii="Arial" w:hAnsi="Arial" w:cs="Arial"/>
          <w:b/>
          <w:szCs w:val="22"/>
        </w:rPr>
        <w:t xml:space="preserve"> </w:t>
      </w:r>
      <w:r w:rsidR="00D468C6" w:rsidRPr="00337F77">
        <w:rPr>
          <w:rFonts w:ascii="Arial" w:hAnsi="Arial" w:cs="Arial"/>
          <w:b/>
          <w:szCs w:val="22"/>
        </w:rPr>
        <w:t>and</w:t>
      </w:r>
      <w:r w:rsidRPr="00337F77">
        <w:rPr>
          <w:rFonts w:ascii="Arial" w:hAnsi="Arial" w:cs="Arial"/>
          <w:b/>
          <w:szCs w:val="22"/>
        </w:rPr>
        <w:t xml:space="preserve"> </w:t>
      </w:r>
      <w:r w:rsidR="00AA451F">
        <w:rPr>
          <w:rFonts w:ascii="Arial" w:hAnsi="Arial" w:cs="Arial"/>
          <w:b/>
          <w:szCs w:val="22"/>
        </w:rPr>
        <w:t>prior to</w:t>
      </w:r>
      <w:r w:rsidR="00AA451F" w:rsidRPr="00337F77">
        <w:rPr>
          <w:rFonts w:ascii="Arial" w:hAnsi="Arial" w:cs="Arial"/>
          <w:b/>
          <w:szCs w:val="22"/>
        </w:rPr>
        <w:t xml:space="preserve"> </w:t>
      </w:r>
      <w:r w:rsidRPr="00337F77">
        <w:rPr>
          <w:rFonts w:ascii="Arial" w:hAnsi="Arial" w:cs="Arial"/>
          <w:b/>
          <w:szCs w:val="22"/>
        </w:rPr>
        <w:t>allergy investigations:</w:t>
      </w:r>
      <w:r w:rsidR="00337F77">
        <w:rPr>
          <w:rFonts w:ascii="Arial" w:hAnsi="Arial" w:cs="Arial"/>
          <w:b/>
          <w:szCs w:val="22"/>
        </w:rPr>
        <w:t xml:space="preserve"> </w:t>
      </w:r>
      <w:bookmarkStart w:id="0" w:name="_GoBack"/>
      <w:bookmarkEnd w:id="0"/>
      <w:r w:rsidR="00321555" w:rsidRPr="00337F77">
        <w:rPr>
          <w:rFonts w:ascii="Arial" w:hAnsi="Arial" w:cs="Arial"/>
          <w:b/>
          <w:szCs w:val="22"/>
        </w:rPr>
        <w:t>NAP6 suggested m</w:t>
      </w:r>
      <w:r w:rsidRPr="00337F77">
        <w:rPr>
          <w:rFonts w:ascii="Arial" w:hAnsi="Arial" w:cs="Arial"/>
          <w:b/>
          <w:szCs w:val="22"/>
        </w:rPr>
        <w:t xml:space="preserve">anagement </w:t>
      </w:r>
      <w:r w:rsidR="00321555" w:rsidRPr="00337F77">
        <w:rPr>
          <w:rFonts w:ascii="Arial" w:hAnsi="Arial" w:cs="Arial"/>
          <w:b/>
          <w:szCs w:val="22"/>
        </w:rPr>
        <w:t>p</w:t>
      </w:r>
      <w:r w:rsidRPr="00337F77">
        <w:rPr>
          <w:rFonts w:ascii="Arial" w:hAnsi="Arial" w:cs="Arial"/>
          <w:b/>
          <w:szCs w:val="22"/>
        </w:rPr>
        <w:t>lan</w:t>
      </w:r>
    </w:p>
    <w:p w14:paraId="1421A5CB" w14:textId="77777777" w:rsidR="00901F25" w:rsidRPr="00506AB0" w:rsidRDefault="00901F25" w:rsidP="00901F25">
      <w:pPr>
        <w:outlineLvl w:val="0"/>
        <w:rPr>
          <w:rFonts w:ascii="Arial" w:hAnsi="Arial" w:cs="Arial"/>
          <w:sz w:val="22"/>
          <w:szCs w:val="22"/>
        </w:rPr>
      </w:pPr>
    </w:p>
    <w:p w14:paraId="69E21384" w14:textId="4EDB7710" w:rsidR="00901F25" w:rsidRPr="00506AB0" w:rsidRDefault="00901F25" w:rsidP="00901F25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506AB0">
        <w:rPr>
          <w:rFonts w:ascii="Arial" w:hAnsi="Arial" w:cs="Arial"/>
          <w:sz w:val="22"/>
          <w:szCs w:val="22"/>
          <w:u w:val="single"/>
        </w:rPr>
        <w:t>It is possible to provide safe anaesthesia in almost every case</w:t>
      </w:r>
      <w:r w:rsidR="00321555" w:rsidRPr="00506AB0">
        <w:rPr>
          <w:rFonts w:ascii="Arial" w:hAnsi="Arial" w:cs="Arial"/>
          <w:sz w:val="22"/>
          <w:szCs w:val="22"/>
          <w:u w:val="single"/>
        </w:rPr>
        <w:t xml:space="preserve"> and </w:t>
      </w:r>
      <w:r w:rsidRPr="00506AB0">
        <w:rPr>
          <w:rFonts w:ascii="Arial" w:hAnsi="Arial" w:cs="Arial"/>
          <w:sz w:val="22"/>
          <w:szCs w:val="22"/>
          <w:u w:val="single"/>
        </w:rPr>
        <w:t>unnecessary to postpone urgent surgery.</w:t>
      </w:r>
    </w:p>
    <w:p w14:paraId="2113A6B1" w14:textId="77777777" w:rsidR="00901F25" w:rsidRPr="00506AB0" w:rsidRDefault="00901F25" w:rsidP="00901F25">
      <w:pPr>
        <w:outlineLvl w:val="0"/>
        <w:rPr>
          <w:rFonts w:ascii="Arial" w:hAnsi="Arial" w:cs="Arial"/>
          <w:sz w:val="22"/>
          <w:szCs w:val="22"/>
        </w:rPr>
      </w:pPr>
    </w:p>
    <w:p w14:paraId="09EE91D2" w14:textId="53C28EC9" w:rsidR="003D1352" w:rsidRPr="00506AB0" w:rsidRDefault="00901F25" w:rsidP="00607D4E">
      <w:pPr>
        <w:pStyle w:val="ListParagraph"/>
        <w:numPr>
          <w:ilvl w:val="0"/>
          <w:numId w:val="6"/>
        </w:numPr>
        <w:ind w:left="360"/>
        <w:outlineLvl w:val="0"/>
        <w:rPr>
          <w:rFonts w:ascii="Arial" w:hAnsi="Arial" w:cs="Arial"/>
        </w:rPr>
      </w:pPr>
      <w:r w:rsidRPr="00506AB0">
        <w:rPr>
          <w:rFonts w:ascii="Arial" w:hAnsi="Arial" w:cs="Arial"/>
        </w:rPr>
        <w:t>It is important to discuss the case with a consultant Allergist or Clinical Immunologist as soon as possible after t</w:t>
      </w:r>
      <w:r w:rsidR="00587D4C" w:rsidRPr="00506AB0">
        <w:rPr>
          <w:rFonts w:ascii="Arial" w:hAnsi="Arial" w:cs="Arial"/>
        </w:rPr>
        <w:t>he suspected anaphylactic event</w:t>
      </w:r>
      <w:r w:rsidR="00792B8F">
        <w:rPr>
          <w:rFonts w:ascii="Arial" w:hAnsi="Arial" w:cs="Arial"/>
        </w:rPr>
        <w:t>.</w:t>
      </w:r>
    </w:p>
    <w:p w14:paraId="205CDDA3" w14:textId="69EC8CFC" w:rsidR="008C2622" w:rsidRPr="00506AB0" w:rsidRDefault="003D1352" w:rsidP="00607D4E">
      <w:pPr>
        <w:pStyle w:val="ListParagraph"/>
        <w:numPr>
          <w:ilvl w:val="0"/>
          <w:numId w:val="6"/>
        </w:numPr>
        <w:ind w:left="360"/>
        <w:outlineLvl w:val="0"/>
        <w:rPr>
          <w:rFonts w:ascii="Arial" w:hAnsi="Arial" w:cs="Arial"/>
        </w:rPr>
      </w:pPr>
      <w:r w:rsidRPr="00506AB0">
        <w:rPr>
          <w:rFonts w:ascii="Arial" w:hAnsi="Arial" w:cs="Arial"/>
        </w:rPr>
        <w:t xml:space="preserve">Regional anaesthesia, where practical, may be a sensible option </w:t>
      </w:r>
      <w:r w:rsidR="00505636" w:rsidRPr="00506AB0">
        <w:rPr>
          <w:rFonts w:ascii="Arial" w:hAnsi="Arial" w:cs="Arial"/>
        </w:rPr>
        <w:t>to enable</w:t>
      </w:r>
      <w:r w:rsidRPr="00506AB0">
        <w:rPr>
          <w:rFonts w:ascii="Arial" w:hAnsi="Arial" w:cs="Arial"/>
        </w:rPr>
        <w:t xml:space="preserve"> </w:t>
      </w:r>
      <w:r w:rsidR="0065220E" w:rsidRPr="00506AB0">
        <w:rPr>
          <w:rFonts w:ascii="Arial" w:hAnsi="Arial" w:cs="Arial"/>
        </w:rPr>
        <w:t xml:space="preserve">avoidance of </w:t>
      </w:r>
      <w:r w:rsidR="00505636" w:rsidRPr="00506AB0">
        <w:rPr>
          <w:rFonts w:ascii="Arial" w:hAnsi="Arial" w:cs="Arial"/>
        </w:rPr>
        <w:t>most</w:t>
      </w:r>
      <w:r w:rsidR="00436346" w:rsidRPr="00506AB0">
        <w:rPr>
          <w:rFonts w:ascii="Arial" w:hAnsi="Arial" w:cs="Arial"/>
        </w:rPr>
        <w:t xml:space="preserve"> </w:t>
      </w:r>
      <w:r w:rsidRPr="00506AB0">
        <w:rPr>
          <w:rFonts w:ascii="Arial" w:hAnsi="Arial" w:cs="Arial"/>
        </w:rPr>
        <w:t xml:space="preserve">drugs </w:t>
      </w:r>
      <w:r w:rsidR="00511C34" w:rsidRPr="00506AB0">
        <w:rPr>
          <w:rFonts w:ascii="Arial" w:hAnsi="Arial" w:cs="Arial"/>
        </w:rPr>
        <w:t xml:space="preserve">suspected to have caused anaphylaxis </w:t>
      </w:r>
      <w:r w:rsidR="00587D4C" w:rsidRPr="00506AB0">
        <w:rPr>
          <w:rFonts w:ascii="Arial" w:hAnsi="Arial" w:cs="Arial"/>
        </w:rPr>
        <w:t xml:space="preserve">during </w:t>
      </w:r>
      <w:r w:rsidR="00511C34" w:rsidRPr="00506AB0">
        <w:rPr>
          <w:rFonts w:ascii="Arial" w:hAnsi="Arial" w:cs="Arial"/>
        </w:rPr>
        <w:t xml:space="preserve">previous </w:t>
      </w:r>
      <w:r w:rsidR="00587D4C" w:rsidRPr="00506AB0">
        <w:rPr>
          <w:rFonts w:ascii="Arial" w:hAnsi="Arial" w:cs="Arial"/>
        </w:rPr>
        <w:t>general anaesthesia</w:t>
      </w:r>
      <w:r w:rsidR="00792B8F">
        <w:rPr>
          <w:rFonts w:ascii="Arial" w:hAnsi="Arial" w:cs="Arial"/>
        </w:rPr>
        <w:t>.</w:t>
      </w:r>
    </w:p>
    <w:p w14:paraId="25AF8079" w14:textId="77777777" w:rsidR="00916C1D" w:rsidRPr="00506AB0" w:rsidRDefault="008C2622" w:rsidP="00607D4E">
      <w:pPr>
        <w:pStyle w:val="ListParagraph"/>
        <w:numPr>
          <w:ilvl w:val="0"/>
          <w:numId w:val="6"/>
        </w:numPr>
        <w:ind w:left="360"/>
        <w:outlineLvl w:val="0"/>
        <w:rPr>
          <w:rFonts w:ascii="Arial" w:hAnsi="Arial" w:cs="Arial"/>
        </w:rPr>
      </w:pPr>
      <w:r w:rsidRPr="00506AB0">
        <w:rPr>
          <w:rFonts w:ascii="Arial" w:hAnsi="Arial" w:cs="Arial"/>
        </w:rPr>
        <w:t xml:space="preserve">If anaesthesia was induced with </w:t>
      </w:r>
      <w:proofErr w:type="spellStart"/>
      <w:r w:rsidRPr="00506AB0">
        <w:rPr>
          <w:rFonts w:ascii="Arial" w:hAnsi="Arial" w:cs="Arial"/>
        </w:rPr>
        <w:t>propofol</w:t>
      </w:r>
      <w:proofErr w:type="spellEnd"/>
      <w:r w:rsidR="00587D4C" w:rsidRPr="00506AB0">
        <w:rPr>
          <w:rFonts w:ascii="Arial" w:hAnsi="Arial" w:cs="Arial"/>
        </w:rPr>
        <w:t xml:space="preserve"> </w:t>
      </w:r>
      <w:r w:rsidRPr="00506AB0">
        <w:rPr>
          <w:rFonts w:ascii="Arial" w:hAnsi="Arial" w:cs="Arial"/>
        </w:rPr>
        <w:t xml:space="preserve">and general anaesthesia is required, the choice of induction agents includes </w:t>
      </w:r>
      <w:r w:rsidR="00587D4C" w:rsidRPr="00506AB0">
        <w:rPr>
          <w:rFonts w:ascii="Arial" w:hAnsi="Arial" w:cs="Arial"/>
        </w:rPr>
        <w:t xml:space="preserve">inhalational agents, </w:t>
      </w:r>
      <w:r w:rsidRPr="00506AB0">
        <w:rPr>
          <w:rFonts w:ascii="Arial" w:hAnsi="Arial" w:cs="Arial"/>
        </w:rPr>
        <w:t>thiopental, etomidate (non-lipid fo</w:t>
      </w:r>
      <w:r w:rsidR="00587D4C" w:rsidRPr="00506AB0">
        <w:rPr>
          <w:rFonts w:ascii="Arial" w:hAnsi="Arial" w:cs="Arial"/>
        </w:rPr>
        <w:t>rmulation) and ketamine</w:t>
      </w:r>
      <w:r w:rsidR="00505636" w:rsidRPr="00506AB0">
        <w:rPr>
          <w:rFonts w:ascii="Arial" w:hAnsi="Arial" w:cs="Arial"/>
        </w:rPr>
        <w:t xml:space="preserve">. </w:t>
      </w:r>
    </w:p>
    <w:p w14:paraId="58E055A8" w14:textId="6E700548" w:rsidR="00717F10" w:rsidRPr="00506AB0" w:rsidRDefault="00717F10" w:rsidP="00607D4E">
      <w:pPr>
        <w:pStyle w:val="ListParagraph"/>
        <w:numPr>
          <w:ilvl w:val="0"/>
          <w:numId w:val="6"/>
        </w:numPr>
        <w:ind w:left="360"/>
        <w:outlineLvl w:val="0"/>
        <w:rPr>
          <w:rFonts w:ascii="Arial" w:hAnsi="Arial" w:cs="Arial"/>
        </w:rPr>
      </w:pPr>
      <w:r w:rsidRPr="00506AB0">
        <w:rPr>
          <w:rFonts w:ascii="Arial" w:hAnsi="Arial" w:cs="Arial"/>
        </w:rPr>
        <w:t>If tracheal intubation is required and an NMBA is contra-indicated:</w:t>
      </w:r>
    </w:p>
    <w:p w14:paraId="3142F49C" w14:textId="048D2127" w:rsidR="00717F10" w:rsidRPr="00506AB0" w:rsidRDefault="00AA451F" w:rsidP="00607D4E">
      <w:pPr>
        <w:pStyle w:val="ListParagraph"/>
        <w:numPr>
          <w:ilvl w:val="1"/>
          <w:numId w:val="9"/>
        </w:numPr>
        <w:ind w:left="10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17F10" w:rsidRPr="00506AB0">
        <w:rPr>
          <w:rFonts w:ascii="Arial" w:hAnsi="Arial" w:cs="Arial"/>
        </w:rPr>
        <w:t xml:space="preserve"> remifentanil infusion, magnesium sulphate and topical anaesthesia are helpful adjuncts</w:t>
      </w:r>
      <w:r w:rsidR="00AB32AB" w:rsidRPr="00506AB0">
        <w:rPr>
          <w:rFonts w:ascii="Arial" w:hAnsi="Arial" w:cs="Arial"/>
        </w:rPr>
        <w:t xml:space="preserve"> to deep anaesthesia in facilitat</w:t>
      </w:r>
      <w:r w:rsidR="00587D4C" w:rsidRPr="00506AB0">
        <w:rPr>
          <w:rFonts w:ascii="Arial" w:hAnsi="Arial" w:cs="Arial"/>
        </w:rPr>
        <w:t>ing laryngoscopy and intubation</w:t>
      </w:r>
    </w:p>
    <w:p w14:paraId="70AED1B2" w14:textId="58F94363" w:rsidR="00717F10" w:rsidRPr="00506AB0" w:rsidRDefault="00AA451F" w:rsidP="00607D4E">
      <w:pPr>
        <w:pStyle w:val="ListParagraph"/>
        <w:numPr>
          <w:ilvl w:val="1"/>
          <w:numId w:val="9"/>
        </w:numPr>
        <w:ind w:left="10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17F10" w:rsidRPr="00506AB0">
        <w:rPr>
          <w:rFonts w:ascii="Arial" w:hAnsi="Arial" w:cs="Arial"/>
        </w:rPr>
        <w:t xml:space="preserve">here remifentanil was used in the previous anaesthetic, consider the use of alfentanil </w:t>
      </w:r>
    </w:p>
    <w:p w14:paraId="7DAF8F5F" w14:textId="5280797E" w:rsidR="00717F10" w:rsidRPr="00506AB0" w:rsidRDefault="00AA451F" w:rsidP="00FC64B4">
      <w:pPr>
        <w:pStyle w:val="ListParagraph"/>
        <w:numPr>
          <w:ilvl w:val="1"/>
          <w:numId w:val="9"/>
        </w:numPr>
        <w:ind w:left="10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17F10" w:rsidRPr="00506AB0">
        <w:rPr>
          <w:rFonts w:ascii="Arial" w:hAnsi="Arial" w:cs="Arial"/>
        </w:rPr>
        <w:t>wake</w:t>
      </w:r>
      <w:r w:rsidR="0015319C">
        <w:rPr>
          <w:rFonts w:ascii="Arial" w:hAnsi="Arial" w:cs="Arial"/>
        </w:rPr>
        <w:t>-</w:t>
      </w:r>
      <w:r w:rsidR="00717F10" w:rsidRPr="00506AB0">
        <w:rPr>
          <w:rFonts w:ascii="Arial" w:hAnsi="Arial" w:cs="Arial"/>
        </w:rPr>
        <w:t>intubation under topica</w:t>
      </w:r>
      <w:r w:rsidR="00587D4C" w:rsidRPr="00506AB0">
        <w:rPr>
          <w:rFonts w:ascii="Arial" w:hAnsi="Arial" w:cs="Arial"/>
        </w:rPr>
        <w:t>l anaesthesia is an alternative</w:t>
      </w:r>
      <w:r w:rsidR="00792B8F">
        <w:rPr>
          <w:rFonts w:ascii="Arial" w:hAnsi="Arial" w:cs="Arial"/>
        </w:rPr>
        <w:t>.</w:t>
      </w:r>
    </w:p>
    <w:p w14:paraId="531C3D80" w14:textId="2513A561" w:rsidR="00505636" w:rsidRPr="00506AB0" w:rsidRDefault="00505636" w:rsidP="00607D4E">
      <w:pPr>
        <w:pStyle w:val="ListParagraph"/>
        <w:numPr>
          <w:ilvl w:val="0"/>
          <w:numId w:val="6"/>
        </w:numPr>
        <w:ind w:left="360"/>
        <w:outlineLvl w:val="0"/>
        <w:rPr>
          <w:rFonts w:ascii="Arial" w:hAnsi="Arial" w:cs="Arial"/>
        </w:rPr>
      </w:pPr>
      <w:r w:rsidRPr="00506AB0">
        <w:rPr>
          <w:rFonts w:ascii="Arial" w:hAnsi="Arial" w:cs="Arial"/>
        </w:rPr>
        <w:t xml:space="preserve">If local anaesthetics are not contra-indicated, sufficient surgical muscle relaxation </w:t>
      </w:r>
      <w:proofErr w:type="gramStart"/>
      <w:r w:rsidRPr="00506AB0">
        <w:rPr>
          <w:rFonts w:ascii="Arial" w:hAnsi="Arial" w:cs="Arial"/>
        </w:rPr>
        <w:t xml:space="preserve">can </w:t>
      </w:r>
      <w:r w:rsidR="005D38D8" w:rsidRPr="00506AB0">
        <w:rPr>
          <w:rFonts w:ascii="Arial" w:hAnsi="Arial" w:cs="Arial"/>
        </w:rPr>
        <w:t xml:space="preserve">usually </w:t>
      </w:r>
      <w:r w:rsidRPr="00506AB0">
        <w:rPr>
          <w:rFonts w:ascii="Arial" w:hAnsi="Arial" w:cs="Arial"/>
        </w:rPr>
        <w:t>be provided</w:t>
      </w:r>
      <w:proofErr w:type="gramEnd"/>
      <w:r w:rsidRPr="00506AB0">
        <w:rPr>
          <w:rFonts w:ascii="Arial" w:hAnsi="Arial" w:cs="Arial"/>
        </w:rPr>
        <w:t xml:space="preserve"> if necessary with an adequate depth of anaesthesia and adjunct neuraxial block, transversus abdominis blocks, rectus sheath blocks or other peripheral nerve block</w:t>
      </w:r>
      <w:r w:rsidR="00792B8F">
        <w:rPr>
          <w:rFonts w:ascii="Arial" w:hAnsi="Arial" w:cs="Arial"/>
        </w:rPr>
        <w:t>.</w:t>
      </w:r>
    </w:p>
    <w:p w14:paraId="7D70396E" w14:textId="2CB16CF4" w:rsidR="008C2622" w:rsidRPr="00506AB0" w:rsidRDefault="00916C1D" w:rsidP="00607D4E">
      <w:pPr>
        <w:pStyle w:val="ListParagraph"/>
        <w:numPr>
          <w:ilvl w:val="0"/>
          <w:numId w:val="6"/>
        </w:numPr>
        <w:ind w:left="360"/>
        <w:outlineLvl w:val="0"/>
        <w:rPr>
          <w:rFonts w:ascii="Arial" w:hAnsi="Arial" w:cs="Arial"/>
        </w:rPr>
      </w:pPr>
      <w:r w:rsidRPr="00506AB0">
        <w:rPr>
          <w:rFonts w:ascii="Arial" w:hAnsi="Arial" w:cs="Arial"/>
        </w:rPr>
        <w:t>Pre-warn the theatre team beforehand, and be prepared to diagnose</w:t>
      </w:r>
      <w:r w:rsidR="00587D4C" w:rsidRPr="00506AB0">
        <w:rPr>
          <w:rFonts w:ascii="Arial" w:hAnsi="Arial" w:cs="Arial"/>
        </w:rPr>
        <w:t xml:space="preserve"> and treat anaphylaxis promptly</w:t>
      </w:r>
      <w:r w:rsidR="00C55D74" w:rsidRPr="00506AB0">
        <w:rPr>
          <w:rFonts w:ascii="Arial" w:hAnsi="Arial" w:cs="Arial"/>
        </w:rPr>
        <w:t>.</w:t>
      </w:r>
      <w:r w:rsidR="00267077" w:rsidRPr="00506AB0">
        <w:rPr>
          <w:rFonts w:ascii="Arial" w:hAnsi="Arial" w:cs="Arial"/>
        </w:rPr>
        <w:t xml:space="preserve"> Consult</w:t>
      </w:r>
      <w:r w:rsidR="00DB3355" w:rsidRPr="00506AB0">
        <w:rPr>
          <w:rFonts w:ascii="Arial" w:hAnsi="Arial" w:cs="Arial"/>
        </w:rPr>
        <w:t xml:space="preserve"> </w:t>
      </w:r>
      <w:r w:rsidR="00267077" w:rsidRPr="00506AB0">
        <w:rPr>
          <w:rFonts w:ascii="Arial" w:hAnsi="Arial" w:cs="Arial"/>
        </w:rPr>
        <w:t>appropriate</w:t>
      </w:r>
      <w:r w:rsidR="00587D4C" w:rsidRPr="00506AB0">
        <w:rPr>
          <w:rFonts w:ascii="Arial" w:hAnsi="Arial" w:cs="Arial"/>
        </w:rPr>
        <w:t xml:space="preserve"> guidelines in advance</w:t>
      </w:r>
      <w:r w:rsidR="00792B8F">
        <w:rPr>
          <w:rFonts w:ascii="Arial" w:hAnsi="Arial" w:cs="Arial"/>
        </w:rPr>
        <w:t>.</w:t>
      </w:r>
    </w:p>
    <w:p w14:paraId="55581A4F" w14:textId="77777777" w:rsidR="008C2622" w:rsidRPr="00506AB0" w:rsidRDefault="008C2622" w:rsidP="00607D4E">
      <w:pPr>
        <w:pStyle w:val="ListParagraph"/>
        <w:numPr>
          <w:ilvl w:val="0"/>
          <w:numId w:val="6"/>
        </w:numPr>
        <w:ind w:left="360"/>
        <w:outlineLvl w:val="0"/>
        <w:rPr>
          <w:rFonts w:ascii="Arial" w:hAnsi="Arial" w:cs="Arial"/>
        </w:rPr>
      </w:pPr>
      <w:r w:rsidRPr="00506AB0">
        <w:rPr>
          <w:rFonts w:ascii="Arial" w:hAnsi="Arial" w:cs="Arial"/>
        </w:rPr>
        <w:t>Premedication with</w:t>
      </w:r>
      <w:r w:rsidR="008F6C99" w:rsidRPr="00506AB0">
        <w:rPr>
          <w:rFonts w:ascii="Arial" w:hAnsi="Arial" w:cs="Arial"/>
        </w:rPr>
        <w:t xml:space="preserve"> antihistamines and steroids may</w:t>
      </w:r>
      <w:r w:rsidRPr="00506AB0">
        <w:rPr>
          <w:rFonts w:ascii="Arial" w:hAnsi="Arial" w:cs="Arial"/>
        </w:rPr>
        <w:t xml:space="preserve"> reduce the severity of reactions caused by non-specific histamine release</w:t>
      </w:r>
      <w:r w:rsidR="00B53088" w:rsidRPr="00506AB0">
        <w:rPr>
          <w:rFonts w:ascii="Arial" w:hAnsi="Arial" w:cs="Arial"/>
        </w:rPr>
        <w:t xml:space="preserve"> but will not</w:t>
      </w:r>
      <w:r w:rsidR="00E5014A" w:rsidRPr="00506AB0">
        <w:rPr>
          <w:rFonts w:ascii="Arial" w:hAnsi="Arial" w:cs="Arial"/>
        </w:rPr>
        <w:t xml:space="preserve"> </w:t>
      </w:r>
      <w:r w:rsidR="00511C34" w:rsidRPr="00506AB0">
        <w:rPr>
          <w:rFonts w:ascii="Arial" w:hAnsi="Arial" w:cs="Arial"/>
        </w:rPr>
        <w:t>prevent anaphylaxis</w:t>
      </w:r>
      <w:r w:rsidR="00505636" w:rsidRPr="00506AB0">
        <w:rPr>
          <w:rFonts w:ascii="Arial" w:hAnsi="Arial" w:cs="Arial"/>
        </w:rPr>
        <w:t>.</w:t>
      </w:r>
    </w:p>
    <w:p w14:paraId="2FF63186" w14:textId="77777777" w:rsidR="00916C1D" w:rsidRPr="00506AB0" w:rsidRDefault="00916C1D" w:rsidP="00901F25">
      <w:pPr>
        <w:outlineLvl w:val="0"/>
        <w:rPr>
          <w:rFonts w:ascii="Arial" w:hAnsi="Arial" w:cs="Arial"/>
          <w:sz w:val="22"/>
          <w:szCs w:val="22"/>
        </w:rPr>
      </w:pPr>
    </w:p>
    <w:p w14:paraId="12D6BFF1" w14:textId="6BEA09A1" w:rsidR="00901F25" w:rsidRPr="00506AB0" w:rsidRDefault="00901F25" w:rsidP="00901F25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506AB0">
        <w:rPr>
          <w:rFonts w:ascii="Arial" w:hAnsi="Arial" w:cs="Arial"/>
          <w:b/>
          <w:sz w:val="22"/>
          <w:szCs w:val="22"/>
          <w:u w:val="single"/>
        </w:rPr>
        <w:t>Avoid the following</w:t>
      </w:r>
      <w:r w:rsidRPr="00506AB0">
        <w:rPr>
          <w:rFonts w:ascii="Arial" w:hAnsi="Arial" w:cs="Arial"/>
          <w:sz w:val="22"/>
          <w:szCs w:val="22"/>
          <w:u w:val="single"/>
        </w:rPr>
        <w:t xml:space="preserve"> if administered/exposed during the 60 minutes prior to the suspected anaphylactic event</w:t>
      </w:r>
      <w:r w:rsidR="00B0714B">
        <w:rPr>
          <w:rFonts w:ascii="Arial" w:hAnsi="Arial" w:cs="Arial"/>
          <w:sz w:val="22"/>
          <w:szCs w:val="22"/>
          <w:u w:val="single"/>
        </w:rPr>
        <w:t>:</w:t>
      </w:r>
    </w:p>
    <w:p w14:paraId="538E475B" w14:textId="77777777" w:rsidR="00901F25" w:rsidRPr="00506AB0" w:rsidRDefault="00901F25" w:rsidP="00901F25">
      <w:pPr>
        <w:outlineLvl w:val="0"/>
        <w:rPr>
          <w:rFonts w:ascii="Arial" w:hAnsi="Arial" w:cs="Arial"/>
          <w:sz w:val="22"/>
          <w:szCs w:val="22"/>
        </w:rPr>
      </w:pPr>
    </w:p>
    <w:p w14:paraId="145460DA" w14:textId="5A3C15C5" w:rsidR="00901F25" w:rsidRPr="00506AB0" w:rsidRDefault="00792B8F" w:rsidP="008C2622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01F25" w:rsidRPr="00506AB0">
        <w:rPr>
          <w:rFonts w:ascii="Arial" w:hAnsi="Arial" w:cs="Arial"/>
        </w:rPr>
        <w:t xml:space="preserve">ll drugs to which the patient </w:t>
      </w:r>
      <w:proofErr w:type="gramStart"/>
      <w:r w:rsidR="00901F25" w:rsidRPr="00506AB0">
        <w:rPr>
          <w:rFonts w:ascii="Arial" w:hAnsi="Arial" w:cs="Arial"/>
        </w:rPr>
        <w:t>was exposed</w:t>
      </w:r>
      <w:proofErr w:type="gramEnd"/>
      <w:r w:rsidR="00901F25" w:rsidRPr="00506AB0">
        <w:rPr>
          <w:rFonts w:ascii="Arial" w:hAnsi="Arial" w:cs="Arial"/>
        </w:rPr>
        <w:t>, with the exception of inhalational anaesthetic agents</w:t>
      </w:r>
      <w:r>
        <w:rPr>
          <w:rFonts w:ascii="Arial" w:hAnsi="Arial" w:cs="Arial"/>
        </w:rPr>
        <w:t>.</w:t>
      </w:r>
    </w:p>
    <w:p w14:paraId="0414492A" w14:textId="0061C0FC" w:rsidR="00E87C73" w:rsidRPr="00506AB0" w:rsidRDefault="00792B8F" w:rsidP="00E87C73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87C73" w:rsidRPr="00506AB0">
        <w:rPr>
          <w:rFonts w:ascii="Arial" w:hAnsi="Arial" w:cs="Arial"/>
        </w:rPr>
        <w:t>ll antibiotics of the same class that was administered (beta</w:t>
      </w:r>
      <w:r w:rsidR="00706C0E">
        <w:rPr>
          <w:rFonts w:ascii="Arial" w:hAnsi="Arial" w:cs="Arial"/>
        </w:rPr>
        <w:t>-</w:t>
      </w:r>
      <w:r w:rsidR="00E87C73" w:rsidRPr="00506AB0">
        <w:rPr>
          <w:rFonts w:ascii="Arial" w:hAnsi="Arial" w:cs="Arial"/>
        </w:rPr>
        <w:t>lactams</w:t>
      </w:r>
      <w:r w:rsidR="00B0714B">
        <w:rPr>
          <w:rFonts w:ascii="Arial" w:hAnsi="Arial" w:cs="Arial"/>
        </w:rPr>
        <w:t>;</w:t>
      </w:r>
      <w:r w:rsidR="00E87C73" w:rsidRPr="00506AB0">
        <w:rPr>
          <w:rFonts w:ascii="Arial" w:hAnsi="Arial" w:cs="Arial"/>
        </w:rPr>
        <w:t xml:space="preserve"> macrolides</w:t>
      </w:r>
      <w:r w:rsidR="00B0714B">
        <w:rPr>
          <w:rFonts w:ascii="Arial" w:hAnsi="Arial" w:cs="Arial"/>
        </w:rPr>
        <w:t xml:space="preserve">; </w:t>
      </w:r>
      <w:r w:rsidR="00E87C73" w:rsidRPr="00506AB0">
        <w:rPr>
          <w:rFonts w:ascii="Arial" w:hAnsi="Arial" w:cs="Arial"/>
        </w:rPr>
        <w:t>fluoroquinolones</w:t>
      </w:r>
      <w:r w:rsidR="00B0714B">
        <w:rPr>
          <w:rFonts w:ascii="Arial" w:hAnsi="Arial" w:cs="Arial"/>
        </w:rPr>
        <w:t>;</w:t>
      </w:r>
      <w:r w:rsidR="00E87C73" w:rsidRPr="00506AB0">
        <w:rPr>
          <w:rFonts w:ascii="Arial" w:hAnsi="Arial" w:cs="Arial"/>
        </w:rPr>
        <w:t xml:space="preserve"> aminoglycosides</w:t>
      </w:r>
      <w:r w:rsidR="00B0714B">
        <w:rPr>
          <w:rFonts w:ascii="Arial" w:hAnsi="Arial" w:cs="Arial"/>
        </w:rPr>
        <w:t>;</w:t>
      </w:r>
      <w:r w:rsidR="00E87C73" w:rsidRPr="00506AB0">
        <w:rPr>
          <w:rFonts w:ascii="Arial" w:hAnsi="Arial" w:cs="Arial"/>
        </w:rPr>
        <w:t xml:space="preserve"> </w:t>
      </w:r>
      <w:proofErr w:type="spellStart"/>
      <w:r w:rsidR="00E87C73" w:rsidRPr="00506AB0">
        <w:rPr>
          <w:rFonts w:ascii="Arial" w:hAnsi="Arial" w:cs="Arial"/>
        </w:rPr>
        <w:t>monobactams</w:t>
      </w:r>
      <w:proofErr w:type="spellEnd"/>
      <w:r w:rsidR="00B0714B">
        <w:rPr>
          <w:rFonts w:ascii="Arial" w:hAnsi="Arial" w:cs="Arial"/>
        </w:rPr>
        <w:t>;</w:t>
      </w:r>
      <w:r w:rsidR="00E87C73" w:rsidRPr="00506AB0">
        <w:rPr>
          <w:rFonts w:ascii="Arial" w:hAnsi="Arial" w:cs="Arial"/>
        </w:rPr>
        <w:t xml:space="preserve"> </w:t>
      </w:r>
      <w:proofErr w:type="spellStart"/>
      <w:r w:rsidR="00E87C73" w:rsidRPr="00506AB0">
        <w:rPr>
          <w:rFonts w:ascii="Arial" w:hAnsi="Arial" w:cs="Arial"/>
        </w:rPr>
        <w:t>carbapenems</w:t>
      </w:r>
      <w:proofErr w:type="spellEnd"/>
      <w:r w:rsidR="00E87C73" w:rsidRPr="00506AB0">
        <w:rPr>
          <w:rFonts w:ascii="Arial" w:hAnsi="Arial" w:cs="Arial"/>
        </w:rPr>
        <w:t>)</w:t>
      </w:r>
      <w:r w:rsidR="00F82BFC">
        <w:rPr>
          <w:rFonts w:ascii="Arial" w:hAnsi="Arial" w:cs="Arial"/>
        </w:rPr>
        <w:t>.</w:t>
      </w:r>
      <w:r w:rsidR="00E87C73" w:rsidRPr="00506AB0">
        <w:rPr>
          <w:rFonts w:ascii="Arial" w:hAnsi="Arial" w:cs="Arial"/>
        </w:rPr>
        <w:t xml:space="preserve"> </w:t>
      </w:r>
      <w:r w:rsidR="00F82BFC">
        <w:rPr>
          <w:rFonts w:ascii="Arial" w:hAnsi="Arial" w:cs="Arial"/>
        </w:rPr>
        <w:t>T</w:t>
      </w:r>
      <w:r w:rsidR="00E87C73" w:rsidRPr="00506AB0">
        <w:rPr>
          <w:rFonts w:ascii="Arial" w:hAnsi="Arial" w:cs="Arial"/>
        </w:rPr>
        <w:t>he surgical and anaesthetic team should discuss antibiotic choice with a microbiologist</w:t>
      </w:r>
      <w:r>
        <w:rPr>
          <w:rFonts w:ascii="Arial" w:hAnsi="Arial" w:cs="Arial"/>
        </w:rPr>
        <w:t>.</w:t>
      </w:r>
    </w:p>
    <w:p w14:paraId="19478C0E" w14:textId="2B6C79A5" w:rsidR="00E87C73" w:rsidRPr="00506AB0" w:rsidRDefault="00792B8F" w:rsidP="00E87C73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87C73" w:rsidRPr="00506AB0">
        <w:rPr>
          <w:rFonts w:ascii="Arial" w:hAnsi="Arial" w:cs="Arial"/>
        </w:rPr>
        <w:t>f an NMBA was administered during this period, all NMBAs should be avoided</w:t>
      </w:r>
      <w:r w:rsidR="005D38D8" w:rsidRPr="00506AB0">
        <w:rPr>
          <w:rFonts w:ascii="Arial" w:hAnsi="Arial" w:cs="Arial"/>
        </w:rPr>
        <w:t xml:space="preserve"> unless</w:t>
      </w:r>
      <w:r w:rsidR="0052583E" w:rsidRPr="00506AB0">
        <w:rPr>
          <w:rFonts w:ascii="Arial" w:hAnsi="Arial" w:cs="Arial"/>
        </w:rPr>
        <w:t xml:space="preserve"> it is </w:t>
      </w:r>
      <w:proofErr w:type="gramStart"/>
      <w:r w:rsidR="0052583E" w:rsidRPr="00506AB0">
        <w:rPr>
          <w:rFonts w:ascii="Arial" w:hAnsi="Arial" w:cs="Arial"/>
        </w:rPr>
        <w:t>absolutely impossible</w:t>
      </w:r>
      <w:proofErr w:type="gramEnd"/>
      <w:r w:rsidR="0052583E" w:rsidRPr="00506AB0">
        <w:rPr>
          <w:rFonts w:ascii="Arial" w:hAnsi="Arial" w:cs="Arial"/>
        </w:rPr>
        <w:t xml:space="preserve"> to do so </w:t>
      </w:r>
      <w:r w:rsidR="00E87C73" w:rsidRPr="00506AB0">
        <w:rPr>
          <w:rFonts w:ascii="Arial" w:hAnsi="Arial" w:cs="Arial"/>
        </w:rPr>
        <w:t>due to the risk of cross-sensitivity</w:t>
      </w:r>
      <w:r>
        <w:rPr>
          <w:rFonts w:ascii="Arial" w:hAnsi="Arial" w:cs="Arial"/>
        </w:rPr>
        <w:t>.</w:t>
      </w:r>
    </w:p>
    <w:p w14:paraId="68D4A69D" w14:textId="7B838076" w:rsidR="00E87C73" w:rsidRPr="00506AB0" w:rsidRDefault="00792B8F" w:rsidP="00E87C73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87C73" w:rsidRPr="00506AB0">
        <w:rPr>
          <w:rFonts w:ascii="Arial" w:hAnsi="Arial" w:cs="Arial"/>
        </w:rPr>
        <w:t xml:space="preserve">hlorhexidine (including chlorhexidine antiseptic wipes, medical gel </w:t>
      </w:r>
      <w:r w:rsidR="00511C34" w:rsidRPr="00506AB0">
        <w:rPr>
          <w:rFonts w:ascii="Arial" w:hAnsi="Arial" w:cs="Arial"/>
        </w:rPr>
        <w:t>(</w:t>
      </w:r>
      <w:proofErr w:type="spellStart"/>
      <w:r w:rsidR="00505636" w:rsidRPr="00506AB0">
        <w:rPr>
          <w:rFonts w:ascii="Arial" w:hAnsi="Arial" w:cs="Arial"/>
        </w:rPr>
        <w:t>e</w:t>
      </w:r>
      <w:r w:rsidR="00706C0E">
        <w:rPr>
          <w:rFonts w:ascii="Arial" w:hAnsi="Arial" w:cs="Arial"/>
        </w:rPr>
        <w:t>g</w:t>
      </w:r>
      <w:proofErr w:type="spellEnd"/>
      <w:r w:rsidR="00706C0E">
        <w:rPr>
          <w:rFonts w:ascii="Arial" w:hAnsi="Arial" w:cs="Arial"/>
        </w:rPr>
        <w:t>,</w:t>
      </w:r>
      <w:r w:rsidR="00511C34" w:rsidRPr="00506AB0">
        <w:rPr>
          <w:rFonts w:ascii="Arial" w:hAnsi="Arial" w:cs="Arial"/>
        </w:rPr>
        <w:t xml:space="preserve"> used before catheter insertion) </w:t>
      </w:r>
      <w:r w:rsidR="00E87C73" w:rsidRPr="00506AB0">
        <w:rPr>
          <w:rFonts w:ascii="Arial" w:hAnsi="Arial" w:cs="Arial"/>
        </w:rPr>
        <w:t>and chlorhexidine-coated intravascular lines/catheters)</w:t>
      </w:r>
      <w:r>
        <w:rPr>
          <w:rFonts w:ascii="Arial" w:hAnsi="Arial" w:cs="Arial"/>
        </w:rPr>
        <w:t>.</w:t>
      </w:r>
    </w:p>
    <w:p w14:paraId="4108B159" w14:textId="7AB32AA6" w:rsidR="00901F25" w:rsidRPr="00506AB0" w:rsidRDefault="00901F25" w:rsidP="00E87C73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</w:rPr>
      </w:pPr>
      <w:r w:rsidRPr="00506AB0">
        <w:rPr>
          <w:rFonts w:ascii="Arial" w:hAnsi="Arial" w:cs="Arial"/>
        </w:rPr>
        <w:t>IV colloids</w:t>
      </w:r>
      <w:r w:rsidR="0015319C">
        <w:rPr>
          <w:rFonts w:ascii="Arial" w:hAnsi="Arial" w:cs="Arial"/>
        </w:rPr>
        <w:t>.</w:t>
      </w:r>
      <w:r w:rsidRPr="00506AB0">
        <w:rPr>
          <w:rFonts w:ascii="Arial" w:hAnsi="Arial" w:cs="Arial"/>
        </w:rPr>
        <w:t xml:space="preserve"> </w:t>
      </w:r>
    </w:p>
    <w:p w14:paraId="058874C8" w14:textId="0C84C759" w:rsidR="00E87C73" w:rsidRPr="00506AB0" w:rsidRDefault="00792B8F" w:rsidP="00E87C73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77555" w:rsidRPr="00506AB0">
        <w:rPr>
          <w:rFonts w:ascii="Arial" w:hAnsi="Arial" w:cs="Arial"/>
        </w:rPr>
        <w:t xml:space="preserve">adiological contrast and </w:t>
      </w:r>
      <w:r w:rsidR="00E87C73" w:rsidRPr="00506AB0">
        <w:rPr>
          <w:rFonts w:ascii="Arial" w:hAnsi="Arial" w:cs="Arial"/>
        </w:rPr>
        <w:t>dyes used for lymph node identification</w:t>
      </w:r>
      <w:r>
        <w:rPr>
          <w:rFonts w:ascii="Arial" w:hAnsi="Arial" w:cs="Arial"/>
        </w:rPr>
        <w:t>.</w:t>
      </w:r>
    </w:p>
    <w:p w14:paraId="5EF4E124" w14:textId="5CE0672A" w:rsidR="00901F25" w:rsidRPr="00506AB0" w:rsidRDefault="00792B8F" w:rsidP="008C2622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01F25" w:rsidRPr="00506AB0">
        <w:rPr>
          <w:rFonts w:ascii="Arial" w:hAnsi="Arial" w:cs="Arial"/>
        </w:rPr>
        <w:t>atex</w:t>
      </w:r>
      <w:r>
        <w:rPr>
          <w:rFonts w:ascii="Arial" w:hAnsi="Arial" w:cs="Arial"/>
        </w:rPr>
        <w:t>.</w:t>
      </w:r>
    </w:p>
    <w:p w14:paraId="736DFCAA" w14:textId="7EE420AE" w:rsidR="00901F25" w:rsidRPr="00506AB0" w:rsidRDefault="00792B8F" w:rsidP="00E87C73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01F25" w:rsidRPr="00506AB0">
        <w:rPr>
          <w:rFonts w:ascii="Arial" w:hAnsi="Arial" w:cs="Arial"/>
        </w:rPr>
        <w:t>ocal anaesthetics of the same class (amides</w:t>
      </w:r>
      <w:r w:rsidR="00706C0E">
        <w:rPr>
          <w:rFonts w:ascii="Arial" w:hAnsi="Arial" w:cs="Arial"/>
        </w:rPr>
        <w:t>,</w:t>
      </w:r>
      <w:r w:rsidR="00901F25" w:rsidRPr="00506AB0">
        <w:rPr>
          <w:rFonts w:ascii="Arial" w:hAnsi="Arial" w:cs="Arial"/>
        </w:rPr>
        <w:t xml:space="preserve"> esters)</w:t>
      </w:r>
      <w:r>
        <w:rPr>
          <w:rFonts w:ascii="Arial" w:hAnsi="Arial" w:cs="Arial"/>
        </w:rPr>
        <w:t>.</w:t>
      </w:r>
    </w:p>
    <w:p w14:paraId="5D82F6C0" w14:textId="14E284B9" w:rsidR="00717F10" w:rsidRPr="00506AB0" w:rsidRDefault="00792B8F" w:rsidP="00901F25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D10EF" w:rsidRPr="00506AB0">
        <w:rPr>
          <w:rFonts w:ascii="Arial" w:hAnsi="Arial" w:cs="Arial"/>
        </w:rPr>
        <w:t>istamine-releasing drugs (morphine and codeine)</w:t>
      </w:r>
      <w:r w:rsidR="00C52C93">
        <w:rPr>
          <w:rFonts w:ascii="Arial" w:hAnsi="Arial" w:cs="Arial"/>
        </w:rPr>
        <w:t>,</w:t>
      </w:r>
      <w:r w:rsidR="00DD10EF" w:rsidRPr="00506AB0">
        <w:rPr>
          <w:rFonts w:ascii="Arial" w:hAnsi="Arial" w:cs="Arial"/>
        </w:rPr>
        <w:t xml:space="preserve"> as the previous reaction may have been due to non-specific histamine</w:t>
      </w:r>
      <w:r w:rsidR="00706C0E">
        <w:rPr>
          <w:rFonts w:ascii="Arial" w:hAnsi="Arial" w:cs="Arial"/>
        </w:rPr>
        <w:t xml:space="preserve"> </w:t>
      </w:r>
      <w:r w:rsidR="00DD10EF" w:rsidRPr="00506AB0">
        <w:rPr>
          <w:rFonts w:ascii="Arial" w:hAnsi="Arial" w:cs="Arial"/>
        </w:rPr>
        <w:t>release</w:t>
      </w:r>
      <w:r>
        <w:rPr>
          <w:rFonts w:ascii="Arial" w:hAnsi="Arial" w:cs="Arial"/>
        </w:rPr>
        <w:t>.</w:t>
      </w:r>
    </w:p>
    <w:p w14:paraId="0440FA4C" w14:textId="021A80A3" w:rsidR="00214DDC" w:rsidRPr="00506AB0" w:rsidRDefault="00214DDC" w:rsidP="00717F10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506AB0">
        <w:rPr>
          <w:rFonts w:ascii="Arial" w:hAnsi="Arial" w:cs="Arial"/>
          <w:sz w:val="22"/>
          <w:szCs w:val="22"/>
          <w:u w:val="single"/>
        </w:rPr>
        <w:t xml:space="preserve">If past </w:t>
      </w:r>
      <w:proofErr w:type="gramStart"/>
      <w:r w:rsidRPr="00506AB0">
        <w:rPr>
          <w:rFonts w:ascii="Arial" w:hAnsi="Arial" w:cs="Arial"/>
          <w:sz w:val="22"/>
          <w:szCs w:val="22"/>
          <w:u w:val="single"/>
        </w:rPr>
        <w:t>anaesthetic</w:t>
      </w:r>
      <w:proofErr w:type="gramEnd"/>
      <w:r w:rsidRPr="00506AB0">
        <w:rPr>
          <w:rFonts w:ascii="Arial" w:hAnsi="Arial" w:cs="Arial"/>
          <w:sz w:val="22"/>
          <w:szCs w:val="22"/>
          <w:u w:val="single"/>
        </w:rPr>
        <w:t xml:space="preserve"> records are not available</w:t>
      </w:r>
      <w:r w:rsidR="0057376C" w:rsidRPr="00506AB0">
        <w:rPr>
          <w:rFonts w:ascii="Arial" w:hAnsi="Arial" w:cs="Arial"/>
          <w:sz w:val="22"/>
          <w:szCs w:val="22"/>
          <w:u w:val="single"/>
        </w:rPr>
        <w:t>, in addition to the above</w:t>
      </w:r>
      <w:r w:rsidR="00B0714B">
        <w:rPr>
          <w:rFonts w:ascii="Arial" w:hAnsi="Arial" w:cs="Arial"/>
          <w:sz w:val="22"/>
          <w:szCs w:val="22"/>
          <w:u w:val="single"/>
        </w:rPr>
        <w:t>:</w:t>
      </w:r>
    </w:p>
    <w:p w14:paraId="5AA2F03E" w14:textId="2B765D53" w:rsidR="00717F10" w:rsidRPr="00506AB0" w:rsidRDefault="00553462" w:rsidP="00901F25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5D74" w:rsidRPr="00506AB0">
        <w:rPr>
          <w:rFonts w:ascii="Arial" w:hAnsi="Arial" w:cs="Arial"/>
        </w:rPr>
        <w:t>s</w:t>
      </w:r>
      <w:r w:rsidR="0057376C" w:rsidRPr="00506AB0">
        <w:rPr>
          <w:rFonts w:ascii="Arial" w:hAnsi="Arial" w:cs="Arial"/>
        </w:rPr>
        <w:t>sume that the patient</w:t>
      </w:r>
      <w:r w:rsidR="00717F10" w:rsidRPr="00506AB0">
        <w:rPr>
          <w:rFonts w:ascii="Arial" w:hAnsi="Arial" w:cs="Arial"/>
        </w:rPr>
        <w:t xml:space="preserve"> </w:t>
      </w:r>
      <w:r w:rsidR="00C57EC1" w:rsidRPr="00506AB0">
        <w:rPr>
          <w:rFonts w:ascii="Arial" w:hAnsi="Arial" w:cs="Arial"/>
        </w:rPr>
        <w:t xml:space="preserve">previously </w:t>
      </w:r>
      <w:r w:rsidR="00717F10" w:rsidRPr="00506AB0">
        <w:rPr>
          <w:rFonts w:ascii="Arial" w:hAnsi="Arial" w:cs="Arial"/>
        </w:rPr>
        <w:t xml:space="preserve">received an antibiotic. </w:t>
      </w:r>
      <w:r w:rsidR="003D0E72" w:rsidRPr="00506AB0">
        <w:rPr>
          <w:rFonts w:ascii="Arial" w:hAnsi="Arial" w:cs="Arial"/>
        </w:rPr>
        <w:t>Antibiotics are the most common cause of</w:t>
      </w:r>
      <w:r w:rsidR="0046653B" w:rsidRPr="00506AB0">
        <w:rPr>
          <w:rFonts w:ascii="Arial" w:hAnsi="Arial" w:cs="Arial"/>
        </w:rPr>
        <w:t xml:space="preserve"> perioperative</w:t>
      </w:r>
      <w:r w:rsidR="003D0E72" w:rsidRPr="00506AB0">
        <w:rPr>
          <w:rFonts w:ascii="Arial" w:hAnsi="Arial" w:cs="Arial"/>
        </w:rPr>
        <w:t xml:space="preserve"> anaphylaxis in the UK. </w:t>
      </w:r>
      <w:r w:rsidR="00717F10" w:rsidRPr="00506AB0">
        <w:rPr>
          <w:rFonts w:ascii="Arial" w:hAnsi="Arial" w:cs="Arial"/>
        </w:rPr>
        <w:t>Discuss antibiotic prophylaxis w</w:t>
      </w:r>
      <w:r w:rsidR="00C55D74" w:rsidRPr="00506AB0">
        <w:rPr>
          <w:rFonts w:ascii="Arial" w:hAnsi="Arial" w:cs="Arial"/>
        </w:rPr>
        <w:t>ith a microbiologist beforehand</w:t>
      </w:r>
      <w:r>
        <w:rPr>
          <w:rFonts w:ascii="Arial" w:hAnsi="Arial" w:cs="Arial"/>
        </w:rPr>
        <w:t>.</w:t>
      </w:r>
    </w:p>
    <w:p w14:paraId="37E75EA1" w14:textId="76E6F218" w:rsidR="00B71614" w:rsidRPr="00506AB0" w:rsidRDefault="00553462" w:rsidP="00B71614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71614" w:rsidRPr="00506AB0">
        <w:rPr>
          <w:rFonts w:ascii="Arial" w:hAnsi="Arial" w:cs="Arial"/>
        </w:rPr>
        <w:t xml:space="preserve">ssume that the patient was previously exposed to </w:t>
      </w:r>
      <w:proofErr w:type="spellStart"/>
      <w:r w:rsidR="00B71614" w:rsidRPr="00506AB0">
        <w:rPr>
          <w:rFonts w:ascii="Arial" w:hAnsi="Arial" w:cs="Arial"/>
        </w:rPr>
        <w:t>propofol</w:t>
      </w:r>
      <w:proofErr w:type="spellEnd"/>
      <w:r w:rsidR="00B71614" w:rsidRPr="00506AB0">
        <w:rPr>
          <w:rFonts w:ascii="Arial" w:hAnsi="Arial" w:cs="Arial"/>
        </w:rPr>
        <w:t>, morphine, chlorhexidine, latex, IV colloid, and an NMBA</w:t>
      </w:r>
      <w:r>
        <w:rPr>
          <w:rFonts w:ascii="Arial" w:hAnsi="Arial" w:cs="Arial"/>
        </w:rPr>
        <w:t>.</w:t>
      </w:r>
    </w:p>
    <w:p w14:paraId="33692949" w14:textId="1706616C" w:rsidR="00B42ADA" w:rsidRPr="00506AB0" w:rsidRDefault="00553462" w:rsidP="00607D4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7376C" w:rsidRPr="00506AB0">
        <w:rPr>
          <w:rFonts w:ascii="Arial" w:hAnsi="Arial" w:cs="Arial"/>
        </w:rPr>
        <w:t>f possible, use</w:t>
      </w:r>
      <w:r w:rsidR="00214DDC" w:rsidRPr="00506AB0">
        <w:rPr>
          <w:rFonts w:ascii="Arial" w:hAnsi="Arial" w:cs="Arial"/>
        </w:rPr>
        <w:t xml:space="preserve"> local or regional anaesthesia in patients who have had a previous </w:t>
      </w:r>
      <w:r w:rsidR="00C36549" w:rsidRPr="00506AB0">
        <w:rPr>
          <w:rFonts w:ascii="Arial" w:hAnsi="Arial" w:cs="Arial"/>
        </w:rPr>
        <w:t>suspected anaphylactic event</w:t>
      </w:r>
      <w:r w:rsidR="0057376C" w:rsidRPr="00506AB0">
        <w:rPr>
          <w:rFonts w:ascii="Arial" w:hAnsi="Arial" w:cs="Arial"/>
        </w:rPr>
        <w:t xml:space="preserve"> during gene</w:t>
      </w:r>
      <w:r w:rsidR="00C55D74" w:rsidRPr="00506AB0">
        <w:rPr>
          <w:rFonts w:ascii="Arial" w:hAnsi="Arial" w:cs="Arial"/>
        </w:rPr>
        <w:t>ral anaesthesia, and vice versa</w:t>
      </w:r>
      <w:r w:rsidR="00792B8F">
        <w:rPr>
          <w:rFonts w:ascii="Arial" w:hAnsi="Arial" w:cs="Arial"/>
        </w:rPr>
        <w:t>.</w:t>
      </w:r>
    </w:p>
    <w:sectPr w:rsidR="00B42ADA" w:rsidRPr="00506AB0" w:rsidSect="00607D4E">
      <w:pgSz w:w="11900" w:h="16840"/>
      <w:pgMar w:top="426" w:right="1008" w:bottom="70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FF"/>
    <w:multiLevelType w:val="hybridMultilevel"/>
    <w:tmpl w:val="9B3CC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54DB"/>
    <w:multiLevelType w:val="hybridMultilevel"/>
    <w:tmpl w:val="1CC4F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71CD4"/>
    <w:multiLevelType w:val="hybridMultilevel"/>
    <w:tmpl w:val="F3CEDD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7F1A"/>
    <w:multiLevelType w:val="hybridMultilevel"/>
    <w:tmpl w:val="B93EEFB2"/>
    <w:lvl w:ilvl="0" w:tplc="7C789EB6">
      <w:start w:val="1"/>
      <w:numFmt w:val="bullet"/>
      <w:lvlText w:val="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02A3C"/>
    <w:multiLevelType w:val="hybridMultilevel"/>
    <w:tmpl w:val="F9C251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96427"/>
    <w:multiLevelType w:val="hybridMultilevel"/>
    <w:tmpl w:val="EA4CF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04D6B"/>
    <w:multiLevelType w:val="hybridMultilevel"/>
    <w:tmpl w:val="A70ACD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5DD9"/>
    <w:multiLevelType w:val="hybridMultilevel"/>
    <w:tmpl w:val="44FE3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0A0059"/>
    <w:multiLevelType w:val="hybridMultilevel"/>
    <w:tmpl w:val="0F7C5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25"/>
    <w:rsid w:val="0000599F"/>
    <w:rsid w:val="00077555"/>
    <w:rsid w:val="00102C46"/>
    <w:rsid w:val="00115B43"/>
    <w:rsid w:val="0015319C"/>
    <w:rsid w:val="0021006B"/>
    <w:rsid w:val="00214DDC"/>
    <w:rsid w:val="00267077"/>
    <w:rsid w:val="00321555"/>
    <w:rsid w:val="00337F77"/>
    <w:rsid w:val="003D0E72"/>
    <w:rsid w:val="003D1352"/>
    <w:rsid w:val="003D7DC1"/>
    <w:rsid w:val="00420D07"/>
    <w:rsid w:val="00436346"/>
    <w:rsid w:val="0046653B"/>
    <w:rsid w:val="00505636"/>
    <w:rsid w:val="00506AB0"/>
    <w:rsid w:val="00511C34"/>
    <w:rsid w:val="0052583E"/>
    <w:rsid w:val="00531030"/>
    <w:rsid w:val="0054776C"/>
    <w:rsid w:val="00553462"/>
    <w:rsid w:val="0057376C"/>
    <w:rsid w:val="00587D4C"/>
    <w:rsid w:val="005D38D8"/>
    <w:rsid w:val="005D770A"/>
    <w:rsid w:val="0060006F"/>
    <w:rsid w:val="00607D4E"/>
    <w:rsid w:val="0065220E"/>
    <w:rsid w:val="00706C0E"/>
    <w:rsid w:val="00717F10"/>
    <w:rsid w:val="007237BD"/>
    <w:rsid w:val="00792B8F"/>
    <w:rsid w:val="00800CD2"/>
    <w:rsid w:val="008277A2"/>
    <w:rsid w:val="008779B7"/>
    <w:rsid w:val="008939D4"/>
    <w:rsid w:val="008C2622"/>
    <w:rsid w:val="008D36A5"/>
    <w:rsid w:val="008F6C99"/>
    <w:rsid w:val="00901F25"/>
    <w:rsid w:val="00916C1D"/>
    <w:rsid w:val="009B5691"/>
    <w:rsid w:val="00A35CBC"/>
    <w:rsid w:val="00AA451F"/>
    <w:rsid w:val="00AB32AB"/>
    <w:rsid w:val="00B0714B"/>
    <w:rsid w:val="00B53088"/>
    <w:rsid w:val="00B646EA"/>
    <w:rsid w:val="00B71614"/>
    <w:rsid w:val="00C23141"/>
    <w:rsid w:val="00C36549"/>
    <w:rsid w:val="00C4717C"/>
    <w:rsid w:val="00C52C93"/>
    <w:rsid w:val="00C55D74"/>
    <w:rsid w:val="00C57EC1"/>
    <w:rsid w:val="00C93B9A"/>
    <w:rsid w:val="00CC1636"/>
    <w:rsid w:val="00D468C6"/>
    <w:rsid w:val="00D70FF2"/>
    <w:rsid w:val="00DB3355"/>
    <w:rsid w:val="00DB4E39"/>
    <w:rsid w:val="00DD10EF"/>
    <w:rsid w:val="00E2419C"/>
    <w:rsid w:val="00E43BA7"/>
    <w:rsid w:val="00E5014A"/>
    <w:rsid w:val="00E87C73"/>
    <w:rsid w:val="00EC00D4"/>
    <w:rsid w:val="00F76708"/>
    <w:rsid w:val="00F82BFC"/>
    <w:rsid w:val="00F9436E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2B38"/>
  <w15:docId w15:val="{EF86E896-0F7F-E540-92E1-A8C11C6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2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4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17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17C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7C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Harper</dc:creator>
  <cp:lastModifiedBy>Laura Farmer</cp:lastModifiedBy>
  <cp:revision>4</cp:revision>
  <dcterms:created xsi:type="dcterms:W3CDTF">2018-03-27T15:11:00Z</dcterms:created>
  <dcterms:modified xsi:type="dcterms:W3CDTF">2018-08-07T14:16:00Z</dcterms:modified>
</cp:coreProperties>
</file>